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4194" w:right="2486" w:hanging="1695"/>
        <w:jc w:val="left"/>
        <w:rPr>
          <w:rFonts w:ascii="Daytona" w:cs="Daytona" w:eastAsia="Daytona" w:hAnsi="Dayto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ytona" w:cs="Daytona" w:eastAsia="Daytona" w:hAnsi="Dayto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Esame conclusivo del I ciclo d’istruzione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4194" w:right="2486" w:hanging="1695"/>
        <w:jc w:val="center"/>
        <w:rPr>
          <w:rFonts w:ascii="Daytona" w:cs="Daytona" w:eastAsia="Daytona" w:hAnsi="Dayto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ytona" w:cs="Daytona" w:eastAsia="Daytona" w:hAnsi="Dayto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GRIGLIA DI VALUTAZIONE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4194" w:right="2486" w:hanging="1695"/>
        <w:jc w:val="center"/>
        <w:rPr>
          <w:rFonts w:ascii="Daytona" w:cs="Daytona" w:eastAsia="Daytona" w:hAnsi="Dayto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ytona" w:cs="Daytona" w:eastAsia="Daytona" w:hAnsi="Dayto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2023-2024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11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PLESSO: …………………………………………………………………………………………….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11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ALUNNO: …………………………………………………………………………………… CLASSE: 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1"/>
        <w:gridCol w:w="5411"/>
        <w:gridCol w:w="1589"/>
        <w:tblGridChange w:id="0">
          <w:tblGrid>
            <w:gridCol w:w="2631"/>
            <w:gridCol w:w="5411"/>
            <w:gridCol w:w="1589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shd w:fill="d9949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INDICATORI DI PROCESSO</w:t>
            </w:r>
          </w:p>
        </w:tc>
        <w:tc>
          <w:tcPr>
            <w:shd w:fill="d9949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INDICATORI DI LIVELLO</w:t>
            </w:r>
          </w:p>
        </w:tc>
        <w:tc>
          <w:tcPr>
            <w:shd w:fill="d9949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11" w:right="25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NUMERICA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Merge w:val="restart"/>
            <w:shd w:fill="c2d59b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10" w:right="10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 E COMPETENZE ARGOMENTATIVE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1511300</wp:posOffset>
                      </wp:positionV>
                      <wp:extent cx="445135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20325" y="3780000"/>
                                <a:ext cx="445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1511300</wp:posOffset>
                      </wp:positionV>
                      <wp:extent cx="445135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513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9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Dimostra di argomentare qualità e quantità di dati ed informazioni in modo: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completo ed approfondito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67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completo e preciso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adeguato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0" w:line="242.99999999999997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parzialmente completo, ma nel complesso adeguato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essenziale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limitato e superficiale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frammentario e lacunoso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c2d59b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10" w:right="8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PENSIERO CRITICO E RIFLESSIVO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1841500</wp:posOffset>
                      </wp:positionV>
                      <wp:extent cx="4432300" cy="12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129850" y="3776825"/>
                                <a:ext cx="4432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1841500</wp:posOffset>
                      </wp:positionV>
                      <wp:extent cx="443230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32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Espone e sostiene il proprio pensiero: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in modo originale, efficace e sicuro, anche in situazioni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8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note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67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in modo sicuro e appropriato, anche in situazioni non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8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0" w:line="240" w:lineRule="auto"/>
              <w:ind w:left="821" w:right="147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con discreta sicurezza e pertinenza, anche in situazioni non note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con sicurezza, solo in situazioni note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con leggera insicurezza, in situazione note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c2d59b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in modo insicuro e poco pertinente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in modo non pertinente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restart"/>
            <w:shd w:fill="b1a0c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10" w:right="14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NELLE LINGUE STRANIERE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1257300</wp:posOffset>
                      </wp:positionV>
                      <wp:extent cx="445135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20325" y="3780000"/>
                                <a:ext cx="445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1257300</wp:posOffset>
                      </wp:positionV>
                      <wp:extent cx="445135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513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Dimostra proprietà di linguaggio ed esposizione: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Fluida, consapevole ed efficace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67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Fluida ed efficace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Chiara e corretta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2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Corretta e adeguata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Essenziale, ma nel complesso corretta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6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Semplice ma non sempre corretta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6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Poco chiara e non sempre corretta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vMerge w:val="restart"/>
            <w:shd w:fill="b1a0c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10" w:right="80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DI EDUCAZIONE CIVICA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Conosce e applica i contenuti riferiti   alle tre macroaree   dell’Educazione Civica (sostenibilità, educazione alla cittadinanza,  cittadinanza digitale) in modo: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critico, consapevole e riflessivo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67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consapevole e riflessivo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organico e significativo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adeguato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1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essenziale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6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superficiale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44196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136200" y="3776825"/>
                                <a:ext cx="44196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44196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96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6" w:line="240" w:lineRule="auto"/>
              <w:ind w:left="4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limitato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72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Merge w:val="continue"/>
            <w:shd w:fill="b1a0c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VOTO PROVA D’ESAME: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8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Dayto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